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Default="00656A85" w:rsidP="004C358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4C3584">
        <w:rPr>
          <w:rFonts w:asciiTheme="majorBidi" w:hAnsiTheme="majorBidi" w:cstheme="majorBidi"/>
          <w:b/>
          <w:color w:val="000000" w:themeColor="text1"/>
        </w:rPr>
        <w:t>24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  <w:r w:rsidR="00FD3EB7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4C3584" w:rsidRDefault="004C3584" w:rsidP="004C3584">
      <w:pPr>
        <w:spacing w:line="276" w:lineRule="auto"/>
        <w:contextualSpacing/>
        <w:jc w:val="right"/>
        <w:rPr>
          <w:rFonts w:asciiTheme="majorBidi" w:hAnsiTheme="majorBidi" w:cstheme="majorBidi"/>
          <w:b/>
          <w:color w:val="000000" w:themeColor="text1"/>
          <w:lang w:val="tr-TR"/>
        </w:rPr>
      </w:pPr>
      <w:r w:rsidRPr="00785208">
        <w:rPr>
          <w:noProof/>
          <w:lang w:eastAsia="nl-NL"/>
        </w:rPr>
        <w:drawing>
          <wp:inline distT="0" distB="0" distL="0" distR="0" wp14:anchorId="62417E80" wp14:editId="059EDA55">
            <wp:extent cx="1807200" cy="352800"/>
            <wp:effectExtent l="0" t="0" r="3175" b="9525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84" w:rsidRDefault="004C3584" w:rsidP="004C3584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  <w:lang w:val="tr-TR"/>
        </w:rPr>
      </w:pPr>
      <w:r>
        <w:rPr>
          <w:rFonts w:asciiTheme="majorBidi" w:hAnsiTheme="majorBidi" w:cstheme="majorBidi"/>
          <w:bCs/>
          <w:noProof/>
          <w:color w:val="000000" w:themeColor="text1"/>
          <w:lang w:eastAsia="nl-NL"/>
        </w:rPr>
        <w:drawing>
          <wp:inline distT="0" distB="0" distL="0" distR="0" wp14:anchorId="3A2A9C96" wp14:editId="0FC5F8B1">
            <wp:extent cx="2967355" cy="84137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84" w:rsidRPr="004C6E77" w:rsidRDefault="004C3584" w:rsidP="004C358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  <w:lang w:val="tr-TR"/>
        </w:rPr>
      </w:pPr>
      <w:r w:rsidRPr="00E36AB0">
        <w:rPr>
          <w:noProof/>
          <w:lang w:eastAsia="nl-NL"/>
        </w:rPr>
        <w:drawing>
          <wp:inline distT="0" distB="0" distL="0" distR="0" wp14:anchorId="38E25BBE" wp14:editId="5EE65FC3">
            <wp:extent cx="2970530" cy="664196"/>
            <wp:effectExtent l="0" t="0" r="1270" b="3175"/>
            <wp:docPr id="2" name="Afbeelding 2" descr="a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6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4C3584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GEBOORTEDAG VAN DE PROFEET (MAWLID AN-NABĪ)</w:t>
      </w:r>
    </w:p>
    <w:p w:rsidR="00DF7C38" w:rsidRPr="00E30AC6" w:rsidRDefault="00DF7C38" w:rsidP="002B0218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33B98" w:rsidRDefault="004C3584" w:rsidP="001A6A4C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proofErr w:type="gramStart"/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Inderdaad, er is een boodschapper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uit jullie midden tot jullie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gekomen; jullie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ellende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 valt hem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erg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zwaar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.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proofErr w:type="gramEnd"/>
      <w:r w:rsidR="002B0218">
        <w:rPr>
          <w:rFonts w:asciiTheme="majorBidi" w:hAnsiTheme="majorBidi" w:cstheme="majorBidi"/>
          <w:b/>
          <w:iCs/>
          <w:color w:val="000000" w:themeColor="text1"/>
        </w:rPr>
        <w:t>H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ij is zeer bezorgd over jullie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[welzijn] en voor de gelovigen is hij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mededogend en genadevol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.’</w:t>
      </w:r>
      <w:r w:rsidR="002B0218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 w:rsidR="002B0218">
        <w:rPr>
          <w:rFonts w:asciiTheme="majorBidi" w:hAnsiTheme="majorBidi" w:cstheme="majorBidi"/>
          <w:bCs/>
          <w:iCs/>
          <w:color w:val="000000" w:themeColor="text1"/>
        </w:rPr>
        <w:t xml:space="preserve"> In een overlevering (</w:t>
      </w:r>
      <w:r w:rsidR="002B0218"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 w:rsidR="002B0218"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 w:rsidR="002B0218">
        <w:rPr>
          <w:rFonts w:asciiTheme="majorBidi" w:hAnsiTheme="majorBidi" w:cstheme="majorBidi"/>
          <w:bCs/>
          <w:iCs/>
          <w:color w:val="000000" w:themeColor="text1"/>
        </w:rPr>
        <w:t xml:space="preserve">) heeft de Profeet zelf (vzmh) het volgende gezegd: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‘Niemand van jullie gelooft écht, 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 xml:space="preserve">zolang je niet méér van mij houdt dan 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van 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>je vader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, dan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 van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j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>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kinderen en dan 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van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alle [andere] mensen.’</w:t>
      </w:r>
      <w:r w:rsidR="009A3FD0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  <w:r w:rsidR="001A6A4C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bookmarkStart w:id="0" w:name="_GoBack"/>
      <w:bookmarkEnd w:id="0"/>
      <w:r w:rsidR="009A3FD0">
        <w:rPr>
          <w:rFonts w:asciiTheme="majorBidi" w:eastAsia="Times New Roman" w:hAnsiTheme="majorBidi" w:cstheme="majorBidi"/>
          <w:bCs/>
        </w:rPr>
        <w:t>Met de Wil van Allah herdenken we woensdag 29 november 2017 de geboortedag van de Profeet (</w:t>
      </w:r>
      <w:r w:rsidR="009A3FD0">
        <w:rPr>
          <w:rFonts w:asciiTheme="majorBidi" w:eastAsia="Times New Roman" w:hAnsiTheme="majorBidi" w:cstheme="majorBidi"/>
          <w:bCs/>
          <w:i/>
          <w:iCs/>
        </w:rPr>
        <w:t>ʿīd al-Mawlid</w:t>
      </w:r>
      <w:r w:rsidR="009A3FD0">
        <w:rPr>
          <w:rFonts w:asciiTheme="majorBidi" w:eastAsia="Times New Roman" w:hAnsiTheme="majorBidi" w:cstheme="majorBidi"/>
          <w:bCs/>
        </w:rPr>
        <w:t>). Op die dag verliet de mensheid de duisternis van het pre-islamitische tijdperk van onwetendheid (</w:t>
      </w:r>
      <w:r w:rsidR="009A3FD0">
        <w:rPr>
          <w:rFonts w:asciiTheme="majorBidi" w:eastAsia="Times New Roman" w:hAnsiTheme="majorBidi" w:cstheme="majorBidi"/>
          <w:bCs/>
          <w:i/>
          <w:iCs/>
        </w:rPr>
        <w:t>jāhiliyya</w:t>
      </w:r>
      <w:r w:rsidR="009A3FD0">
        <w:rPr>
          <w:rFonts w:asciiTheme="majorBidi" w:eastAsia="Times New Roman" w:hAnsiTheme="majorBidi" w:cstheme="majorBidi"/>
          <w:bCs/>
        </w:rPr>
        <w:t xml:space="preserve">). Op die dag </w:t>
      </w:r>
      <w:r w:rsidR="00EC7565">
        <w:rPr>
          <w:rFonts w:asciiTheme="majorBidi" w:eastAsia="Times New Roman" w:hAnsiTheme="majorBidi" w:cstheme="majorBidi"/>
          <w:bCs/>
        </w:rPr>
        <w:t>rekende de Profeet af met alle symptomen van ongeloof (</w:t>
      </w:r>
      <w:r w:rsidR="00EC7565">
        <w:rPr>
          <w:rFonts w:asciiTheme="majorBidi" w:eastAsia="Times New Roman" w:hAnsiTheme="majorBidi" w:cstheme="majorBidi"/>
          <w:bCs/>
          <w:i/>
          <w:iCs/>
        </w:rPr>
        <w:t>kufr</w:t>
      </w:r>
      <w:r w:rsidR="00EC7565">
        <w:rPr>
          <w:rFonts w:asciiTheme="majorBidi" w:eastAsia="Times New Roman" w:hAnsiTheme="majorBidi" w:cstheme="majorBidi"/>
          <w:bCs/>
        </w:rPr>
        <w:t>). De komst van profeet Muḥammad Mustafā betekende een opluchting voor de mensheid.</w:t>
      </w:r>
      <w:r w:rsidR="009A6C3E">
        <w:rPr>
          <w:rFonts w:asciiTheme="majorBidi" w:eastAsia="Times New Roman" w:hAnsiTheme="majorBidi" w:cstheme="majorBidi"/>
          <w:b/>
        </w:rPr>
        <w:t xml:space="preserve"> </w:t>
      </w:r>
      <w:r w:rsidR="003D7064">
        <w:rPr>
          <w:rFonts w:asciiTheme="majorBidi" w:eastAsia="Times New Roman" w:hAnsiTheme="majorBidi" w:cstheme="majorBidi"/>
          <w:bCs/>
        </w:rPr>
        <w:t>Ons Heilige Boek introduceert de Profeet als het beste voorbeeld voor gelovigen.</w:t>
      </w:r>
      <w:r w:rsidR="003D7064">
        <w:rPr>
          <w:rStyle w:val="Voetnootmarkering"/>
          <w:rFonts w:asciiTheme="majorBidi" w:eastAsia="Times New Roman" w:hAnsiTheme="majorBidi" w:cstheme="majorBidi"/>
          <w:bCs/>
        </w:rPr>
        <w:footnoteReference w:id="3"/>
      </w:r>
      <w:r w:rsidR="003D7064">
        <w:rPr>
          <w:rFonts w:asciiTheme="majorBidi" w:eastAsia="Times New Roman" w:hAnsiTheme="majorBidi" w:cstheme="majorBidi"/>
          <w:bCs/>
        </w:rPr>
        <w:t xml:space="preserve"> Allah informeert ons dat het volgen van de Profeet een voorwaarde is om de liefde van Allah te </w:t>
      </w:r>
      <w:r w:rsidR="00232573">
        <w:rPr>
          <w:rFonts w:asciiTheme="majorBidi" w:eastAsia="Times New Roman" w:hAnsiTheme="majorBidi" w:cstheme="majorBidi"/>
          <w:bCs/>
        </w:rPr>
        <w:t>verkrijgen</w:t>
      </w:r>
      <w:r w:rsidR="003D7064">
        <w:rPr>
          <w:rFonts w:asciiTheme="majorBidi" w:eastAsia="Times New Roman" w:hAnsiTheme="majorBidi" w:cstheme="majorBidi"/>
          <w:bCs/>
        </w:rPr>
        <w:t>.</w:t>
      </w:r>
      <w:r w:rsidR="003D7064">
        <w:rPr>
          <w:rStyle w:val="Voetnootmarkering"/>
          <w:rFonts w:asciiTheme="majorBidi" w:eastAsia="Times New Roman" w:hAnsiTheme="majorBidi" w:cstheme="majorBidi"/>
          <w:bCs/>
        </w:rPr>
        <w:footnoteReference w:id="4"/>
      </w:r>
      <w:r w:rsidR="003D7064">
        <w:rPr>
          <w:rFonts w:asciiTheme="majorBidi" w:eastAsia="Times New Roman" w:hAnsiTheme="majorBidi" w:cstheme="majorBidi"/>
          <w:bCs/>
        </w:rPr>
        <w:t xml:space="preserve"> </w:t>
      </w:r>
      <w:r w:rsidR="005379CF">
        <w:rPr>
          <w:rFonts w:asciiTheme="majorBidi" w:eastAsia="Times New Roman" w:hAnsiTheme="majorBidi" w:cstheme="majorBidi"/>
          <w:bCs/>
        </w:rPr>
        <w:t>Het pad van de Profeet, is het pad van schoonheid, van waarheid (</w:t>
      </w:r>
      <w:r w:rsidR="006C27B5">
        <w:rPr>
          <w:rFonts w:asciiTheme="majorBidi" w:eastAsia="Times New Roman" w:hAnsiTheme="majorBidi" w:cstheme="majorBidi"/>
          <w:bCs/>
          <w:i/>
          <w:iCs/>
        </w:rPr>
        <w:t>ḥaqq</w:t>
      </w:r>
      <w:r w:rsidR="005379CF">
        <w:rPr>
          <w:rFonts w:asciiTheme="majorBidi" w:eastAsia="Times New Roman" w:hAnsiTheme="majorBidi" w:cstheme="majorBidi"/>
          <w:bCs/>
        </w:rPr>
        <w:t>), van rechtvaardigheid (</w:t>
      </w:r>
      <w:r w:rsidR="005379CF">
        <w:rPr>
          <w:rFonts w:asciiTheme="majorBidi" w:eastAsia="Times New Roman" w:hAnsiTheme="majorBidi" w:cstheme="majorBidi"/>
          <w:bCs/>
          <w:i/>
          <w:iCs/>
        </w:rPr>
        <w:t>ʿadāla</w:t>
      </w:r>
      <w:r w:rsidR="005379CF">
        <w:rPr>
          <w:rFonts w:asciiTheme="majorBidi" w:eastAsia="Times New Roman" w:hAnsiTheme="majorBidi" w:cstheme="majorBidi"/>
          <w:bCs/>
        </w:rPr>
        <w:t>), van oprechtheid (</w:t>
      </w:r>
      <w:r w:rsidR="005379CF">
        <w:rPr>
          <w:rFonts w:asciiTheme="majorBidi" w:eastAsia="Times New Roman" w:hAnsiTheme="majorBidi" w:cstheme="majorBidi"/>
          <w:bCs/>
          <w:i/>
          <w:iCs/>
        </w:rPr>
        <w:t>ikhlāṣ</w:t>
      </w:r>
      <w:r w:rsidR="005379CF">
        <w:rPr>
          <w:rFonts w:asciiTheme="majorBidi" w:eastAsia="Times New Roman" w:hAnsiTheme="majorBidi" w:cstheme="majorBidi"/>
          <w:bCs/>
        </w:rPr>
        <w:t>), van goede manieren (</w:t>
      </w:r>
      <w:r w:rsidR="005379CF">
        <w:rPr>
          <w:rFonts w:asciiTheme="majorBidi" w:eastAsia="Times New Roman" w:hAnsiTheme="majorBidi" w:cstheme="majorBidi"/>
          <w:bCs/>
          <w:i/>
          <w:iCs/>
        </w:rPr>
        <w:t>akhlāq</w:t>
      </w:r>
      <w:r w:rsidR="005379CF">
        <w:rPr>
          <w:rFonts w:asciiTheme="majorBidi" w:eastAsia="Times New Roman" w:hAnsiTheme="majorBidi" w:cstheme="majorBidi"/>
          <w:bCs/>
        </w:rPr>
        <w:t xml:space="preserve">), van </w:t>
      </w:r>
      <w:r w:rsidR="006C27B5">
        <w:rPr>
          <w:rFonts w:asciiTheme="majorBidi" w:eastAsia="Times New Roman" w:hAnsiTheme="majorBidi" w:cstheme="majorBidi"/>
          <w:bCs/>
        </w:rPr>
        <w:t>genade</w:t>
      </w:r>
      <w:r w:rsidR="005379CF">
        <w:rPr>
          <w:rFonts w:asciiTheme="majorBidi" w:eastAsia="Times New Roman" w:hAnsiTheme="majorBidi" w:cstheme="majorBidi"/>
          <w:bCs/>
        </w:rPr>
        <w:t xml:space="preserve"> (</w:t>
      </w:r>
      <w:r w:rsidR="005379CF">
        <w:rPr>
          <w:rFonts w:asciiTheme="majorBidi" w:eastAsia="Times New Roman" w:hAnsiTheme="majorBidi" w:cstheme="majorBidi"/>
          <w:bCs/>
          <w:i/>
          <w:iCs/>
        </w:rPr>
        <w:t>raḥma</w:t>
      </w:r>
      <w:r w:rsidR="005379CF">
        <w:rPr>
          <w:rFonts w:asciiTheme="majorBidi" w:eastAsia="Times New Roman" w:hAnsiTheme="majorBidi" w:cstheme="majorBidi"/>
          <w:bCs/>
        </w:rPr>
        <w:t>), maar ook van tolerantie, harmonie en éénheid. Dit is het gezegende pad van degenen die op zoek zijn naar rust en eeuwige gelukzaligheid.</w:t>
      </w:r>
      <w:r w:rsidR="009A6C3E">
        <w:rPr>
          <w:rFonts w:asciiTheme="majorBidi" w:eastAsia="Times New Roman" w:hAnsiTheme="majorBidi" w:cstheme="majorBidi"/>
          <w:b/>
        </w:rPr>
        <w:t xml:space="preserve"> </w:t>
      </w:r>
      <w:r w:rsidR="00833B98">
        <w:rPr>
          <w:rFonts w:asciiTheme="majorBidi" w:eastAsia="Times New Roman" w:hAnsiTheme="majorBidi" w:cstheme="majorBidi"/>
          <w:bCs/>
        </w:rPr>
        <w:t xml:space="preserve">Helaas zien we dat veel mensen geteisterd worden door geweld en terreur. Vergeet niet dat wij allemaal verplichtingen hebben </w:t>
      </w:r>
      <w:r w:rsidR="00232573">
        <w:rPr>
          <w:rFonts w:asciiTheme="majorBidi" w:eastAsia="Times New Roman" w:hAnsiTheme="majorBidi" w:cstheme="majorBidi"/>
          <w:bCs/>
        </w:rPr>
        <w:t>ten overstaande van</w:t>
      </w:r>
      <w:r w:rsidR="00833B98">
        <w:rPr>
          <w:rFonts w:asciiTheme="majorBidi" w:eastAsia="Times New Roman" w:hAnsiTheme="majorBidi" w:cstheme="majorBidi"/>
          <w:bCs/>
        </w:rPr>
        <w:t xml:space="preserve"> </w:t>
      </w:r>
      <w:r w:rsidR="00232573">
        <w:rPr>
          <w:rFonts w:asciiTheme="majorBidi" w:eastAsia="Times New Roman" w:hAnsiTheme="majorBidi" w:cstheme="majorBidi"/>
          <w:bCs/>
        </w:rPr>
        <w:t xml:space="preserve">al </w:t>
      </w:r>
      <w:r w:rsidR="00833B98">
        <w:rPr>
          <w:rFonts w:asciiTheme="majorBidi" w:eastAsia="Times New Roman" w:hAnsiTheme="majorBidi" w:cstheme="majorBidi"/>
          <w:bCs/>
        </w:rPr>
        <w:t xml:space="preserve">deze conflicten. Wij zijn één voor één verplicht om </w:t>
      </w:r>
      <w:r w:rsidR="00232573">
        <w:rPr>
          <w:rFonts w:asciiTheme="majorBidi" w:eastAsia="Times New Roman" w:hAnsiTheme="majorBidi" w:cstheme="majorBidi"/>
          <w:bCs/>
        </w:rPr>
        <w:t>de</w:t>
      </w:r>
      <w:r w:rsidR="00833B98">
        <w:rPr>
          <w:rFonts w:asciiTheme="majorBidi" w:eastAsia="Times New Roman" w:hAnsiTheme="majorBidi" w:cstheme="majorBidi"/>
          <w:bCs/>
        </w:rPr>
        <w:t xml:space="preserve"> </w:t>
      </w:r>
      <w:r w:rsidR="00232573">
        <w:rPr>
          <w:rFonts w:asciiTheme="majorBidi" w:eastAsia="Times New Roman" w:hAnsiTheme="majorBidi" w:cstheme="majorBidi"/>
          <w:bCs/>
        </w:rPr>
        <w:t>waarheid</w:t>
      </w:r>
      <w:r w:rsidR="00833B98">
        <w:rPr>
          <w:rFonts w:asciiTheme="majorBidi" w:eastAsia="Times New Roman" w:hAnsiTheme="majorBidi" w:cstheme="majorBidi"/>
          <w:bCs/>
        </w:rPr>
        <w:t xml:space="preserve"> (</w:t>
      </w:r>
      <w:r w:rsidR="00833B98">
        <w:rPr>
          <w:rFonts w:asciiTheme="majorBidi" w:eastAsia="Times New Roman" w:hAnsiTheme="majorBidi" w:cstheme="majorBidi"/>
          <w:bCs/>
          <w:i/>
          <w:iCs/>
        </w:rPr>
        <w:t>ḥaqq</w:t>
      </w:r>
      <w:r w:rsidR="00833B98">
        <w:rPr>
          <w:rFonts w:asciiTheme="majorBidi" w:eastAsia="Times New Roman" w:hAnsiTheme="majorBidi" w:cstheme="majorBidi"/>
          <w:bCs/>
        </w:rPr>
        <w:t>), goede manieren (</w:t>
      </w:r>
      <w:r w:rsidR="00833B98">
        <w:rPr>
          <w:rFonts w:asciiTheme="majorBidi" w:eastAsia="Times New Roman" w:hAnsiTheme="majorBidi" w:cstheme="majorBidi"/>
          <w:bCs/>
          <w:i/>
          <w:iCs/>
        </w:rPr>
        <w:t>akhlāq</w:t>
      </w:r>
      <w:r w:rsidR="00833B98">
        <w:rPr>
          <w:rFonts w:asciiTheme="majorBidi" w:eastAsia="Times New Roman" w:hAnsiTheme="majorBidi" w:cstheme="majorBidi"/>
          <w:bCs/>
        </w:rPr>
        <w:t>), rechtvaardigheid (</w:t>
      </w:r>
      <w:r w:rsidR="00833B98">
        <w:rPr>
          <w:rFonts w:asciiTheme="majorBidi" w:eastAsia="Times New Roman" w:hAnsiTheme="majorBidi" w:cstheme="majorBidi"/>
          <w:bCs/>
          <w:i/>
          <w:iCs/>
        </w:rPr>
        <w:t>ʿadāla</w:t>
      </w:r>
      <w:r w:rsidR="00833B98">
        <w:rPr>
          <w:rFonts w:asciiTheme="majorBidi" w:eastAsia="Times New Roman" w:hAnsiTheme="majorBidi" w:cstheme="majorBidi"/>
          <w:bCs/>
        </w:rPr>
        <w:t>)</w:t>
      </w:r>
      <w:r w:rsidR="00232573">
        <w:rPr>
          <w:rFonts w:asciiTheme="majorBidi" w:eastAsia="Times New Roman" w:hAnsiTheme="majorBidi" w:cstheme="majorBidi"/>
          <w:bCs/>
        </w:rPr>
        <w:t>,</w:t>
      </w:r>
      <w:r w:rsidR="00833B98">
        <w:rPr>
          <w:rFonts w:asciiTheme="majorBidi" w:eastAsia="Times New Roman" w:hAnsiTheme="majorBidi" w:cstheme="majorBidi"/>
          <w:bCs/>
        </w:rPr>
        <w:t xml:space="preserve"> barmhartigheid </w:t>
      </w:r>
      <w:r w:rsidR="00833B98">
        <w:rPr>
          <w:rFonts w:asciiTheme="majorBidi" w:eastAsia="Times New Roman" w:hAnsiTheme="majorBidi" w:cstheme="majorBidi"/>
          <w:bCs/>
        </w:rPr>
        <w:t>(</w:t>
      </w:r>
      <w:r w:rsidR="00833B98">
        <w:rPr>
          <w:rFonts w:asciiTheme="majorBidi" w:eastAsia="Times New Roman" w:hAnsiTheme="majorBidi" w:cstheme="majorBidi"/>
          <w:bCs/>
          <w:i/>
          <w:iCs/>
        </w:rPr>
        <w:t>raḥma</w:t>
      </w:r>
      <w:r w:rsidR="00833B98">
        <w:rPr>
          <w:rFonts w:asciiTheme="majorBidi" w:eastAsia="Times New Roman" w:hAnsiTheme="majorBidi" w:cstheme="majorBidi"/>
          <w:bCs/>
        </w:rPr>
        <w:t>), mededogen en broederschap</w:t>
      </w:r>
      <w:r w:rsidR="00232573">
        <w:rPr>
          <w:rFonts w:asciiTheme="majorBidi" w:eastAsia="Times New Roman" w:hAnsiTheme="majorBidi" w:cstheme="majorBidi"/>
          <w:bCs/>
        </w:rPr>
        <w:t xml:space="preserve"> –</w:t>
      </w:r>
      <w:r w:rsidR="00833B98">
        <w:rPr>
          <w:rFonts w:asciiTheme="majorBidi" w:eastAsia="Times New Roman" w:hAnsiTheme="majorBidi" w:cstheme="majorBidi"/>
          <w:bCs/>
        </w:rPr>
        <w:t xml:space="preserve"> die de Profeet als erfenis achter</w:t>
      </w:r>
      <w:r w:rsidR="00232573">
        <w:rPr>
          <w:rFonts w:asciiTheme="majorBidi" w:eastAsia="Times New Roman" w:hAnsiTheme="majorBidi" w:cstheme="majorBidi"/>
          <w:bCs/>
        </w:rPr>
        <w:t>liet –</w:t>
      </w:r>
      <w:r w:rsidR="00833B98">
        <w:rPr>
          <w:rFonts w:asciiTheme="majorBidi" w:eastAsia="Times New Roman" w:hAnsiTheme="majorBidi" w:cstheme="majorBidi"/>
          <w:bCs/>
        </w:rPr>
        <w:t xml:space="preserve"> over te brengen naar onze gezinnen, gemeenschappen en naar de hele mensheid.</w:t>
      </w:r>
      <w:r w:rsidR="009A6C3E">
        <w:rPr>
          <w:rFonts w:asciiTheme="majorBidi" w:eastAsia="Times New Roman" w:hAnsiTheme="majorBidi" w:cstheme="majorBidi"/>
          <w:b/>
        </w:rPr>
        <w:t xml:space="preserve"> </w:t>
      </w:r>
      <w:r w:rsidR="006714C7">
        <w:rPr>
          <w:rFonts w:asciiTheme="majorBidi" w:eastAsia="Times New Roman" w:hAnsiTheme="majorBidi" w:cstheme="majorBidi"/>
          <w:bCs/>
        </w:rPr>
        <w:t>Hierbij wil ik jullie alvast feliciteren met het bereiken van de geboortedag van de Profeet</w:t>
      </w:r>
      <w:r w:rsidR="009A6C3E">
        <w:rPr>
          <w:rFonts w:asciiTheme="majorBidi" w:eastAsia="Times New Roman" w:hAnsiTheme="majorBidi" w:cstheme="majorBidi"/>
          <w:bCs/>
        </w:rPr>
        <w:t xml:space="preserve">. </w:t>
      </w:r>
      <w:r w:rsidR="006714C7">
        <w:rPr>
          <w:rFonts w:asciiTheme="majorBidi" w:eastAsia="Times New Roman" w:hAnsiTheme="majorBidi" w:cstheme="majorBidi"/>
          <w:bCs/>
        </w:rPr>
        <w:t>Laten we tijdens de gezegende dagen van deze maand (</w:t>
      </w:r>
      <w:r w:rsidR="006714C7" w:rsidRPr="006714C7">
        <w:rPr>
          <w:rFonts w:asciiTheme="majorBidi" w:eastAsia="Times New Roman" w:hAnsiTheme="majorBidi" w:cstheme="majorBidi"/>
          <w:bCs/>
          <w:i/>
          <w:iCs/>
        </w:rPr>
        <w:t>Rabīʿ al-awwal</w:t>
      </w:r>
      <w:r w:rsidR="006714C7">
        <w:rPr>
          <w:rFonts w:asciiTheme="majorBidi" w:eastAsia="Times New Roman" w:hAnsiTheme="majorBidi" w:cstheme="majorBidi"/>
          <w:bCs/>
        </w:rPr>
        <w:t>) benutten door het leven van de Profeet grondig te bestuderen. Laten we veelvuldig zegeningen (</w:t>
      </w:r>
      <w:r w:rsidR="006714C7">
        <w:rPr>
          <w:rFonts w:asciiTheme="majorBidi" w:eastAsia="Times New Roman" w:hAnsiTheme="majorBidi" w:cstheme="majorBidi"/>
          <w:bCs/>
          <w:i/>
          <w:iCs/>
        </w:rPr>
        <w:t>ṣalawāt</w:t>
      </w:r>
      <w:r w:rsidR="006714C7">
        <w:rPr>
          <w:rFonts w:asciiTheme="majorBidi" w:eastAsia="Times New Roman" w:hAnsiTheme="majorBidi" w:cstheme="majorBidi"/>
          <w:bCs/>
        </w:rPr>
        <w:t>) over de Profeet</w:t>
      </w:r>
      <w:r w:rsidR="00B64094">
        <w:rPr>
          <w:rFonts w:asciiTheme="majorBidi" w:eastAsia="Times New Roman" w:hAnsiTheme="majorBidi" w:cstheme="majorBidi"/>
          <w:bCs/>
        </w:rPr>
        <w:t xml:space="preserve"> uiten. Onze geliefde</w:t>
      </w:r>
      <w:r w:rsidR="006714C7">
        <w:rPr>
          <w:rFonts w:asciiTheme="majorBidi" w:eastAsia="Times New Roman" w:hAnsiTheme="majorBidi" w:cstheme="majorBidi"/>
          <w:bCs/>
        </w:rPr>
        <w:t xml:space="preserve"> Profeet Aḥmad, Maḥmūd, </w:t>
      </w:r>
      <w:r w:rsidR="00B64094">
        <w:rPr>
          <w:rFonts w:asciiTheme="majorBidi" w:eastAsia="Times New Roman" w:hAnsiTheme="majorBidi" w:cstheme="majorBidi"/>
          <w:bCs/>
        </w:rPr>
        <w:t>Muḥammad</w:t>
      </w:r>
      <w:r w:rsidR="006714C7">
        <w:rPr>
          <w:rFonts w:asciiTheme="majorBidi" w:eastAsia="Times New Roman" w:hAnsiTheme="majorBidi" w:cstheme="majorBidi"/>
          <w:bCs/>
        </w:rPr>
        <w:t xml:space="preserve">, </w:t>
      </w:r>
      <w:r w:rsidR="00B64094">
        <w:rPr>
          <w:rFonts w:asciiTheme="majorBidi" w:eastAsia="Times New Roman" w:hAnsiTheme="majorBidi" w:cstheme="majorBidi"/>
          <w:bCs/>
        </w:rPr>
        <w:t>Mustafā</w:t>
      </w:r>
      <w:r w:rsidR="006714C7">
        <w:rPr>
          <w:rFonts w:asciiTheme="majorBidi" w:eastAsia="Times New Roman" w:hAnsiTheme="majorBidi" w:cstheme="majorBidi"/>
          <w:bCs/>
        </w:rPr>
        <w:t xml:space="preserve"> (</w:t>
      </w:r>
      <w:r w:rsidR="006714C7">
        <w:rPr>
          <w:rFonts w:asciiTheme="majorBidi" w:eastAsia="Times New Roman" w:hAnsiTheme="majorBidi" w:cstheme="majorBidi"/>
          <w:bCs/>
          <w:i/>
          <w:iCs/>
        </w:rPr>
        <w:t>ṣallallāhu ʿalayhi wa-sallam</w:t>
      </w:r>
      <w:r w:rsidR="006714C7">
        <w:rPr>
          <w:rFonts w:asciiTheme="majorBidi" w:eastAsia="Times New Roman" w:hAnsiTheme="majorBidi" w:cstheme="majorBidi"/>
          <w:bCs/>
        </w:rPr>
        <w:t>; vrede zij met hem)</w:t>
      </w:r>
      <w:r w:rsidR="00B64094">
        <w:rPr>
          <w:rFonts w:asciiTheme="majorBidi" w:eastAsia="Times New Roman" w:hAnsiTheme="majorBidi" w:cstheme="majorBidi"/>
          <w:bCs/>
        </w:rPr>
        <w:t xml:space="preserve"> zei eens hartverwarmend: </w:t>
      </w:r>
      <w:r w:rsidR="00B64094">
        <w:rPr>
          <w:rFonts w:asciiTheme="majorBidi" w:eastAsia="Times New Roman" w:hAnsiTheme="majorBidi" w:cstheme="majorBidi"/>
          <w:b/>
        </w:rPr>
        <w:t>‘Wat had ik toch graag mijn broeders gezien die in mij geloven, terwijl ze mij niet eens hebben gezien!’</w:t>
      </w:r>
    </w:p>
    <w:p w:rsidR="009A3FD0" w:rsidRDefault="009A3FD0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3C" w:rsidRDefault="002B2A3C" w:rsidP="009E60E2">
      <w:r>
        <w:separator/>
      </w:r>
    </w:p>
  </w:endnote>
  <w:endnote w:type="continuationSeparator" w:id="0">
    <w:p w:rsidR="002B2A3C" w:rsidRDefault="002B2A3C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3C" w:rsidRDefault="002B2A3C" w:rsidP="009E60E2">
      <w:r>
        <w:separator/>
      </w:r>
    </w:p>
  </w:footnote>
  <w:footnote w:type="continuationSeparator" w:id="0">
    <w:p w:rsidR="002B2A3C" w:rsidRDefault="002B2A3C" w:rsidP="009E60E2">
      <w:r>
        <w:continuationSeparator/>
      </w:r>
    </w:p>
  </w:footnote>
  <w:footnote w:id="1">
    <w:p w:rsidR="002B0218" w:rsidRPr="003D7064" w:rsidRDefault="002B0218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Al-Tawba, 9: 128.</w:t>
      </w:r>
    </w:p>
  </w:footnote>
  <w:footnote w:id="2">
    <w:p w:rsidR="009A3FD0" w:rsidRPr="003D7064" w:rsidRDefault="009A3FD0" w:rsidP="009A3FD0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Al-Bukhārī, Īmān, 8.</w:t>
      </w:r>
    </w:p>
  </w:footnote>
  <w:footnote w:id="3">
    <w:p w:rsidR="003D7064" w:rsidRPr="003D7064" w:rsidRDefault="003D7064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Al-Aḥzāb, 33: 21.</w:t>
      </w:r>
    </w:p>
  </w:footnote>
  <w:footnote w:id="4">
    <w:p w:rsidR="003D7064" w:rsidRPr="003D7064" w:rsidRDefault="003D7064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Ᾱl ʿImrān, 3: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10389"/>
    <w:rsid w:val="00022C01"/>
    <w:rsid w:val="00024ABB"/>
    <w:rsid w:val="000268C1"/>
    <w:rsid w:val="0003103C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4C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2573"/>
    <w:rsid w:val="002331CB"/>
    <w:rsid w:val="00236A47"/>
    <w:rsid w:val="00237AFF"/>
    <w:rsid w:val="00243761"/>
    <w:rsid w:val="002620A5"/>
    <w:rsid w:val="00285A3E"/>
    <w:rsid w:val="00285CCD"/>
    <w:rsid w:val="002A49BE"/>
    <w:rsid w:val="002B0218"/>
    <w:rsid w:val="002B1321"/>
    <w:rsid w:val="002B2A3C"/>
    <w:rsid w:val="002C4159"/>
    <w:rsid w:val="002D48DA"/>
    <w:rsid w:val="002D6241"/>
    <w:rsid w:val="002D6DD8"/>
    <w:rsid w:val="002D74A0"/>
    <w:rsid w:val="002E5A0D"/>
    <w:rsid w:val="002F11D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7513"/>
    <w:rsid w:val="00420F4C"/>
    <w:rsid w:val="00430FBA"/>
    <w:rsid w:val="004426FE"/>
    <w:rsid w:val="00443B96"/>
    <w:rsid w:val="004539AB"/>
    <w:rsid w:val="004571FF"/>
    <w:rsid w:val="00476BF5"/>
    <w:rsid w:val="004804F1"/>
    <w:rsid w:val="004827ED"/>
    <w:rsid w:val="004874BF"/>
    <w:rsid w:val="004A0875"/>
    <w:rsid w:val="004A33A7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413EC"/>
    <w:rsid w:val="00544B07"/>
    <w:rsid w:val="00564F1A"/>
    <w:rsid w:val="00580CF1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A265E"/>
    <w:rsid w:val="006C13D6"/>
    <w:rsid w:val="006C27B5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4564C"/>
    <w:rsid w:val="009570D9"/>
    <w:rsid w:val="0097127C"/>
    <w:rsid w:val="00987DA2"/>
    <w:rsid w:val="00997B9B"/>
    <w:rsid w:val="009A0A3A"/>
    <w:rsid w:val="009A3FD0"/>
    <w:rsid w:val="009A4FC1"/>
    <w:rsid w:val="009A6C3E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801BC"/>
    <w:rsid w:val="00B83FD1"/>
    <w:rsid w:val="00BA305C"/>
    <w:rsid w:val="00BB0131"/>
    <w:rsid w:val="00BB4B63"/>
    <w:rsid w:val="00BC2D6A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15FF"/>
    <w:rsid w:val="00CD438F"/>
    <w:rsid w:val="00CE1AE8"/>
    <w:rsid w:val="00CE1D7C"/>
    <w:rsid w:val="00D012B1"/>
    <w:rsid w:val="00D06CB5"/>
    <w:rsid w:val="00D07EF6"/>
    <w:rsid w:val="00D43D2C"/>
    <w:rsid w:val="00D63224"/>
    <w:rsid w:val="00D638D1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3EB7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CAA3-A6A2-4D42-B44F-1C925C1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cp:lastPrinted>2017-05-04T09:52:00Z</cp:lastPrinted>
  <dcterms:created xsi:type="dcterms:W3CDTF">2017-11-23T11:17:00Z</dcterms:created>
  <dcterms:modified xsi:type="dcterms:W3CDTF">2017-11-23T11:23:00Z</dcterms:modified>
</cp:coreProperties>
</file>